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742B0F" w:rsidTr="00742B0F">
        <w:tc>
          <w:tcPr>
            <w:tcW w:w="3227" w:type="dxa"/>
          </w:tcPr>
          <w:p w:rsidR="00742B0F" w:rsidRPr="00742B0F" w:rsidRDefault="00742B0F" w:rsidP="00742B0F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42B0F">
              <w:rPr>
                <w:rFonts w:eastAsia="Times New Roman" w:cs="Times New Roman"/>
                <w:b/>
                <w:bCs/>
                <w:sz w:val="26"/>
                <w:szCs w:val="26"/>
              </w:rPr>
              <w:t>ỦY BAN NHÂN DÂN</w:t>
            </w:r>
          </w:p>
          <w:p w:rsidR="00742B0F" w:rsidRPr="00742B0F" w:rsidRDefault="00742B0F" w:rsidP="00742B0F">
            <w:pPr>
              <w:spacing w:before="120"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42B0F">
              <w:rPr>
                <w:rFonts w:eastAsia="Times New Roman" w:cs="Times New Roman"/>
                <w:b/>
                <w:bCs/>
                <w:sz w:val="26"/>
                <w:szCs w:val="26"/>
              </w:rPr>
              <w:t>TỈNH HÀ NAM</w:t>
            </w:r>
          </w:p>
          <w:p w:rsidR="00742B0F" w:rsidRPr="00811504" w:rsidRDefault="00742B0F" w:rsidP="00811504">
            <w:pPr>
              <w:spacing w:before="120"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42B0F">
              <w:rPr>
                <w:rFonts w:eastAsia="Times New Roman" w:cs="Times New Roman"/>
                <w:sz w:val="26"/>
                <w:szCs w:val="26"/>
              </w:rPr>
              <w:t>Số:14 /2025/QĐ-UBND</w:t>
            </w:r>
          </w:p>
        </w:tc>
        <w:tc>
          <w:tcPr>
            <w:tcW w:w="6061" w:type="dxa"/>
          </w:tcPr>
          <w:p w:rsidR="00742B0F" w:rsidRPr="00742B0F" w:rsidRDefault="00742B0F" w:rsidP="00742B0F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42B0F"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742B0F" w:rsidRPr="00742B0F" w:rsidRDefault="00742B0F" w:rsidP="00742B0F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42B0F">
              <w:rPr>
                <w:rFonts w:eastAsia="Times New Roman" w:cs="Times New Roman"/>
                <w:b/>
                <w:bCs/>
                <w:szCs w:val="28"/>
              </w:rPr>
              <w:t>Độc lập - Tự do - Hạnh phúc</w:t>
            </w:r>
          </w:p>
          <w:p w:rsidR="00742B0F" w:rsidRPr="00811504" w:rsidRDefault="00742B0F" w:rsidP="00811504">
            <w:pPr>
              <w:spacing w:before="120" w:after="120" w:line="240" w:lineRule="atLeast"/>
              <w:ind w:firstLine="567"/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r w:rsidRPr="00742B0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Hà Nam, ngày </w:t>
            </w:r>
            <w:r w:rsidRPr="00742B0F">
              <w:rPr>
                <w:rFonts w:eastAsia="Times New Roman" w:cs="Times New Roman"/>
                <w:i/>
                <w:sz w:val="26"/>
                <w:szCs w:val="26"/>
              </w:rPr>
              <w:t xml:space="preserve">04 </w:t>
            </w:r>
            <w:r w:rsidRPr="00742B0F">
              <w:rPr>
                <w:rFonts w:eastAsia="Times New Roman" w:cs="Times New Roman"/>
                <w:i/>
                <w:iCs/>
                <w:sz w:val="26"/>
                <w:szCs w:val="26"/>
              </w:rPr>
              <w:t>tháng 3 năm 2025</w:t>
            </w:r>
          </w:p>
        </w:tc>
      </w:tr>
    </w:tbl>
    <w:p w:rsidR="00742B0F" w:rsidRPr="00742B0F" w:rsidRDefault="00742B0F" w:rsidP="00742B0F">
      <w:pPr>
        <w:spacing w:before="120" w:after="120" w:line="240" w:lineRule="atLeast"/>
        <w:ind w:firstLine="567"/>
        <w:jc w:val="center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b/>
          <w:bCs/>
          <w:szCs w:val="28"/>
        </w:rPr>
        <w:t>QUYẾT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ĐỊNH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center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b/>
          <w:bCs/>
          <w:szCs w:val="28"/>
        </w:rPr>
        <w:t>Về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việc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quy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định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chức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năng,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nhiệm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vụ,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quyền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hạn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và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cơ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cấu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tổ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chức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của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Sở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Tư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pháp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tỉnh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Hà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Nam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center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b/>
          <w:bCs/>
          <w:szCs w:val="28"/>
        </w:rPr>
        <w:t>ỦY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BAN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NHÂN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DÂN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TỈNH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HÀ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NAM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742B0F">
        <w:rPr>
          <w:rFonts w:eastAsia="Times New Roman" w:cs="Times New Roman"/>
          <w:i/>
          <w:iCs/>
          <w:szCs w:val="28"/>
        </w:rPr>
        <w:t xml:space="preserve">Căn cứ Luật Tổ </w:t>
      </w:r>
      <w:r w:rsidRPr="00742B0F">
        <w:rPr>
          <w:rFonts w:eastAsia="Times New Roman" w:cs="Times New Roman"/>
          <w:i/>
          <w:szCs w:val="28"/>
        </w:rPr>
        <w:t xml:space="preserve">chức </w:t>
      </w:r>
      <w:r w:rsidRPr="00742B0F">
        <w:rPr>
          <w:rFonts w:eastAsia="Times New Roman" w:cs="Times New Roman"/>
          <w:i/>
          <w:iCs/>
          <w:szCs w:val="28"/>
        </w:rPr>
        <w:t>chính quyền địa phương ngày 19 tháng 02 năm 2025</w:t>
      </w:r>
      <w:r w:rsidRPr="00742B0F">
        <w:rPr>
          <w:rFonts w:eastAsia="Times New Roman" w:cs="Times New Roman"/>
          <w:i/>
          <w:szCs w:val="28"/>
        </w:rPr>
        <w:t xml:space="preserve">; </w:t>
      </w:r>
    </w:p>
    <w:p w:rsidR="00742B0F" w:rsidRPr="00742B0F" w:rsidRDefault="00742B0F" w:rsidP="00433C7D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742B0F">
        <w:rPr>
          <w:rFonts w:eastAsia="Times New Roman" w:cs="Times New Roman"/>
          <w:i/>
          <w:iCs/>
          <w:szCs w:val="28"/>
        </w:rPr>
        <w:t xml:space="preserve">Căn cứ Nghị quyết </w:t>
      </w:r>
      <w:r w:rsidRPr="00742B0F">
        <w:rPr>
          <w:rFonts w:eastAsia="Times New Roman" w:cs="Times New Roman"/>
          <w:i/>
          <w:szCs w:val="28"/>
        </w:rPr>
        <w:t>số 190</w:t>
      </w:r>
      <w:r w:rsidRPr="00742B0F">
        <w:rPr>
          <w:rFonts w:eastAsia="Times New Roman" w:cs="Times New Roman"/>
          <w:i/>
          <w:iCs/>
          <w:szCs w:val="28"/>
        </w:rPr>
        <w:t xml:space="preserve">/2025/QH15 ngày 19 tháng 02 </w:t>
      </w:r>
      <w:r w:rsidRPr="00742B0F">
        <w:rPr>
          <w:rFonts w:eastAsia="Times New Roman" w:cs="Times New Roman"/>
          <w:i/>
          <w:szCs w:val="28"/>
        </w:rPr>
        <w:t xml:space="preserve">năm </w:t>
      </w:r>
      <w:r w:rsidRPr="00742B0F">
        <w:rPr>
          <w:rFonts w:eastAsia="Times New Roman" w:cs="Times New Roman"/>
          <w:i/>
          <w:iCs/>
          <w:szCs w:val="28"/>
        </w:rPr>
        <w:t>2025 của Quốc hội quy định về xử lý một số vấn đề liên quan đến sắp xếp tổ chức bộ máy</w:t>
      </w:r>
      <w:r w:rsidR="00433C7D">
        <w:rPr>
          <w:rFonts w:eastAsia="Times New Roman" w:cs="Times New Roman"/>
          <w:i/>
          <w:iCs/>
          <w:szCs w:val="28"/>
        </w:rPr>
        <w:t xml:space="preserve"> </w:t>
      </w:r>
      <w:r w:rsidRPr="00742B0F">
        <w:rPr>
          <w:rFonts w:eastAsia="Times New Roman" w:cs="Times New Roman"/>
          <w:i/>
          <w:iCs/>
          <w:szCs w:val="28"/>
        </w:rPr>
        <w:t>nhà nước</w:t>
      </w:r>
      <w:r w:rsidRPr="00742B0F">
        <w:rPr>
          <w:rFonts w:eastAsia="Times New Roman" w:cs="Times New Roman"/>
          <w:i/>
          <w:szCs w:val="28"/>
        </w:rPr>
        <w:t xml:space="preserve">;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742B0F">
        <w:rPr>
          <w:rFonts w:eastAsia="Times New Roman" w:cs="Times New Roman"/>
          <w:i/>
          <w:iCs/>
          <w:szCs w:val="28"/>
        </w:rPr>
        <w:t xml:space="preserve">Căn </w:t>
      </w:r>
      <w:r w:rsidRPr="00742B0F">
        <w:rPr>
          <w:rFonts w:eastAsia="Times New Roman" w:cs="Times New Roman"/>
          <w:i/>
          <w:szCs w:val="28"/>
        </w:rPr>
        <w:t xml:space="preserve">cứ </w:t>
      </w:r>
      <w:r w:rsidRPr="00742B0F">
        <w:rPr>
          <w:rFonts w:eastAsia="Times New Roman" w:cs="Times New Roman"/>
          <w:i/>
          <w:iCs/>
          <w:szCs w:val="28"/>
        </w:rPr>
        <w:t xml:space="preserve">Nghị định </w:t>
      </w:r>
      <w:r w:rsidRPr="00742B0F">
        <w:rPr>
          <w:rFonts w:eastAsia="Times New Roman" w:cs="Times New Roman"/>
          <w:i/>
          <w:szCs w:val="28"/>
        </w:rPr>
        <w:t>số 45/</w:t>
      </w:r>
      <w:r w:rsidRPr="00742B0F">
        <w:rPr>
          <w:rFonts w:eastAsia="Times New Roman" w:cs="Times New Roman"/>
          <w:i/>
          <w:iCs/>
          <w:szCs w:val="28"/>
        </w:rPr>
        <w:t>2025/NĐ-</w:t>
      </w:r>
      <w:r w:rsidRPr="00742B0F">
        <w:rPr>
          <w:rFonts w:eastAsia="Times New Roman" w:cs="Times New Roman"/>
          <w:i/>
          <w:szCs w:val="28"/>
        </w:rPr>
        <w:t xml:space="preserve">CP </w:t>
      </w:r>
      <w:r w:rsidRPr="00742B0F">
        <w:rPr>
          <w:rFonts w:eastAsia="Times New Roman" w:cs="Times New Roman"/>
          <w:i/>
          <w:iCs/>
          <w:szCs w:val="28"/>
        </w:rPr>
        <w:t xml:space="preserve">ngày </w:t>
      </w:r>
      <w:r w:rsidRPr="00742B0F">
        <w:rPr>
          <w:rFonts w:eastAsia="Times New Roman" w:cs="Times New Roman"/>
          <w:i/>
          <w:szCs w:val="28"/>
        </w:rPr>
        <w:t xml:space="preserve">28 tháng 02 </w:t>
      </w:r>
      <w:r w:rsidRPr="00742B0F">
        <w:rPr>
          <w:rFonts w:eastAsia="Times New Roman" w:cs="Times New Roman"/>
          <w:i/>
          <w:iCs/>
          <w:szCs w:val="28"/>
        </w:rPr>
        <w:t xml:space="preserve">năm </w:t>
      </w:r>
      <w:r w:rsidRPr="00742B0F">
        <w:rPr>
          <w:rFonts w:eastAsia="Times New Roman" w:cs="Times New Roman"/>
          <w:i/>
          <w:szCs w:val="28"/>
        </w:rPr>
        <w:t xml:space="preserve">2025 </w:t>
      </w:r>
      <w:r w:rsidRPr="00742B0F">
        <w:rPr>
          <w:rFonts w:eastAsia="Times New Roman" w:cs="Times New Roman"/>
          <w:i/>
          <w:iCs/>
          <w:szCs w:val="28"/>
        </w:rPr>
        <w:t>của Chính phủ quy định tổ chức các cơ quan chuyên môn thuộc Ủy ban nhân dân tỉnh</w:t>
      </w:r>
      <w:r w:rsidRPr="00742B0F">
        <w:rPr>
          <w:rFonts w:eastAsia="Times New Roman" w:cs="Times New Roman"/>
          <w:i/>
          <w:szCs w:val="28"/>
        </w:rPr>
        <w:t xml:space="preserve">, </w:t>
      </w:r>
      <w:r w:rsidRPr="00742B0F">
        <w:rPr>
          <w:rFonts w:eastAsia="Times New Roman" w:cs="Times New Roman"/>
          <w:i/>
          <w:iCs/>
          <w:szCs w:val="28"/>
        </w:rPr>
        <w:t xml:space="preserve">thành phố </w:t>
      </w:r>
      <w:r w:rsidRPr="00742B0F">
        <w:rPr>
          <w:rFonts w:eastAsia="Times New Roman" w:cs="Times New Roman"/>
          <w:i/>
          <w:szCs w:val="28"/>
        </w:rPr>
        <w:t xml:space="preserve">trực </w:t>
      </w:r>
      <w:r w:rsidRPr="00742B0F">
        <w:rPr>
          <w:rFonts w:eastAsia="Times New Roman" w:cs="Times New Roman"/>
          <w:i/>
          <w:iCs/>
          <w:szCs w:val="28"/>
        </w:rPr>
        <w:t>thuộc trung ương và Ủy ban nhân dân huyện</w:t>
      </w:r>
      <w:r w:rsidRPr="00742B0F">
        <w:rPr>
          <w:rFonts w:eastAsia="Times New Roman" w:cs="Times New Roman"/>
          <w:i/>
          <w:szCs w:val="28"/>
        </w:rPr>
        <w:t xml:space="preserve">, </w:t>
      </w:r>
      <w:r w:rsidRPr="00742B0F">
        <w:rPr>
          <w:rFonts w:eastAsia="Times New Roman" w:cs="Times New Roman"/>
          <w:i/>
          <w:iCs/>
          <w:szCs w:val="28"/>
        </w:rPr>
        <w:t>quận, thị xã</w:t>
      </w:r>
      <w:r w:rsidRPr="00742B0F">
        <w:rPr>
          <w:rFonts w:eastAsia="Times New Roman" w:cs="Times New Roman"/>
          <w:i/>
          <w:szCs w:val="28"/>
        </w:rPr>
        <w:t xml:space="preserve">, </w:t>
      </w:r>
      <w:r w:rsidRPr="00742B0F">
        <w:rPr>
          <w:rFonts w:eastAsia="Times New Roman" w:cs="Times New Roman"/>
          <w:i/>
          <w:iCs/>
          <w:szCs w:val="28"/>
        </w:rPr>
        <w:t>thành phố thuộc tỉnh, thành phố thuộc thành phố trực thuộc trung ương</w:t>
      </w:r>
      <w:r w:rsidRPr="00742B0F">
        <w:rPr>
          <w:rFonts w:eastAsia="Times New Roman" w:cs="Times New Roman"/>
          <w:i/>
          <w:szCs w:val="28"/>
        </w:rPr>
        <w:t xml:space="preserve">;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742B0F">
        <w:rPr>
          <w:rFonts w:eastAsia="Times New Roman" w:cs="Times New Roman"/>
          <w:i/>
          <w:iCs/>
          <w:szCs w:val="28"/>
        </w:rPr>
        <w:t xml:space="preserve">Căn </w:t>
      </w:r>
      <w:r w:rsidRPr="00742B0F">
        <w:rPr>
          <w:rFonts w:eastAsia="Times New Roman" w:cs="Times New Roman"/>
          <w:i/>
          <w:szCs w:val="28"/>
        </w:rPr>
        <w:t xml:space="preserve">cứ </w:t>
      </w:r>
      <w:r w:rsidRPr="00742B0F">
        <w:rPr>
          <w:rFonts w:eastAsia="Times New Roman" w:cs="Times New Roman"/>
          <w:i/>
          <w:iCs/>
          <w:szCs w:val="28"/>
        </w:rPr>
        <w:t xml:space="preserve">Nghị định </w:t>
      </w:r>
      <w:r w:rsidRPr="00742B0F">
        <w:rPr>
          <w:rFonts w:eastAsia="Times New Roman" w:cs="Times New Roman"/>
          <w:i/>
          <w:szCs w:val="28"/>
        </w:rPr>
        <w:t xml:space="preserve">số </w:t>
      </w:r>
      <w:r w:rsidRPr="00742B0F">
        <w:rPr>
          <w:rFonts w:eastAsia="Times New Roman" w:cs="Times New Roman"/>
          <w:i/>
          <w:iCs/>
          <w:szCs w:val="28"/>
        </w:rPr>
        <w:t>158/2018/NĐ</w:t>
      </w:r>
      <w:r w:rsidRPr="00742B0F">
        <w:rPr>
          <w:rFonts w:eastAsia="Times New Roman" w:cs="Times New Roman"/>
          <w:i/>
          <w:szCs w:val="28"/>
        </w:rPr>
        <w:t>-</w:t>
      </w:r>
      <w:r w:rsidRPr="00742B0F">
        <w:rPr>
          <w:rFonts w:eastAsia="Times New Roman" w:cs="Times New Roman"/>
          <w:i/>
          <w:iCs/>
          <w:szCs w:val="28"/>
        </w:rPr>
        <w:t xml:space="preserve">CP ngày </w:t>
      </w:r>
      <w:r w:rsidRPr="00742B0F">
        <w:rPr>
          <w:rFonts w:eastAsia="Times New Roman" w:cs="Times New Roman"/>
          <w:i/>
          <w:szCs w:val="28"/>
        </w:rPr>
        <w:t xml:space="preserve">22 tháng 11 </w:t>
      </w:r>
      <w:r w:rsidRPr="00742B0F">
        <w:rPr>
          <w:rFonts w:eastAsia="Times New Roman" w:cs="Times New Roman"/>
          <w:i/>
          <w:iCs/>
          <w:szCs w:val="28"/>
        </w:rPr>
        <w:t>năm 2018 của Chính phủ quy định về thành lập</w:t>
      </w:r>
      <w:r w:rsidRPr="00742B0F">
        <w:rPr>
          <w:rFonts w:eastAsia="Times New Roman" w:cs="Times New Roman"/>
          <w:i/>
          <w:szCs w:val="28"/>
        </w:rPr>
        <w:t xml:space="preserve">, </w:t>
      </w:r>
      <w:r w:rsidRPr="00742B0F">
        <w:rPr>
          <w:rFonts w:eastAsia="Times New Roman" w:cs="Times New Roman"/>
          <w:i/>
          <w:iCs/>
          <w:szCs w:val="28"/>
        </w:rPr>
        <w:t>tổ chức lại</w:t>
      </w:r>
      <w:r w:rsidRPr="00742B0F">
        <w:rPr>
          <w:rFonts w:eastAsia="Times New Roman" w:cs="Times New Roman"/>
          <w:i/>
          <w:szCs w:val="28"/>
        </w:rPr>
        <w:t xml:space="preserve">, </w:t>
      </w:r>
      <w:r w:rsidRPr="00742B0F">
        <w:rPr>
          <w:rFonts w:eastAsia="Times New Roman" w:cs="Times New Roman"/>
          <w:i/>
          <w:iCs/>
          <w:szCs w:val="28"/>
        </w:rPr>
        <w:t>giải thể tổ chức hành chính</w:t>
      </w:r>
      <w:r w:rsidRPr="00742B0F">
        <w:rPr>
          <w:rFonts w:eastAsia="Times New Roman" w:cs="Times New Roman"/>
          <w:i/>
          <w:szCs w:val="28"/>
        </w:rPr>
        <w:t xml:space="preserve">;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742B0F">
        <w:rPr>
          <w:rFonts w:eastAsia="Times New Roman" w:cs="Times New Roman"/>
          <w:i/>
          <w:iCs/>
          <w:szCs w:val="28"/>
        </w:rPr>
        <w:t xml:space="preserve">Căn </w:t>
      </w:r>
      <w:r w:rsidRPr="00742B0F">
        <w:rPr>
          <w:rFonts w:eastAsia="Times New Roman" w:cs="Times New Roman"/>
          <w:i/>
          <w:szCs w:val="28"/>
        </w:rPr>
        <w:t xml:space="preserve">cứ </w:t>
      </w:r>
      <w:r w:rsidRPr="00742B0F">
        <w:rPr>
          <w:rFonts w:eastAsia="Times New Roman" w:cs="Times New Roman"/>
          <w:i/>
          <w:iCs/>
          <w:szCs w:val="28"/>
        </w:rPr>
        <w:t xml:space="preserve">Thông </w:t>
      </w:r>
      <w:r w:rsidRPr="00742B0F">
        <w:rPr>
          <w:rFonts w:eastAsia="Times New Roman" w:cs="Times New Roman"/>
          <w:i/>
          <w:szCs w:val="28"/>
        </w:rPr>
        <w:t xml:space="preserve">tư </w:t>
      </w:r>
      <w:r w:rsidRPr="00742B0F">
        <w:rPr>
          <w:rFonts w:eastAsia="Times New Roman" w:cs="Times New Roman"/>
          <w:i/>
          <w:iCs/>
          <w:szCs w:val="28"/>
        </w:rPr>
        <w:t>số 07</w:t>
      </w:r>
      <w:r w:rsidRPr="00742B0F">
        <w:rPr>
          <w:rFonts w:eastAsia="Times New Roman" w:cs="Times New Roman"/>
          <w:i/>
          <w:szCs w:val="28"/>
        </w:rPr>
        <w:t>/</w:t>
      </w:r>
      <w:r w:rsidRPr="00742B0F">
        <w:rPr>
          <w:rFonts w:eastAsia="Times New Roman" w:cs="Times New Roman"/>
          <w:i/>
          <w:iCs/>
          <w:szCs w:val="28"/>
        </w:rPr>
        <w:t>2020/TT</w:t>
      </w:r>
      <w:r w:rsidRPr="00742B0F">
        <w:rPr>
          <w:rFonts w:eastAsia="Times New Roman" w:cs="Times New Roman"/>
          <w:i/>
          <w:szCs w:val="28"/>
        </w:rPr>
        <w:t>-</w:t>
      </w:r>
      <w:r w:rsidRPr="00742B0F">
        <w:rPr>
          <w:rFonts w:eastAsia="Times New Roman" w:cs="Times New Roman"/>
          <w:i/>
          <w:iCs/>
          <w:szCs w:val="28"/>
        </w:rPr>
        <w:t xml:space="preserve">BTP ngày 21 </w:t>
      </w:r>
      <w:r w:rsidRPr="00742B0F">
        <w:rPr>
          <w:rFonts w:eastAsia="Times New Roman" w:cs="Times New Roman"/>
          <w:i/>
          <w:szCs w:val="28"/>
        </w:rPr>
        <w:t xml:space="preserve">tháng </w:t>
      </w:r>
      <w:r w:rsidRPr="00742B0F">
        <w:rPr>
          <w:rFonts w:eastAsia="Times New Roman" w:cs="Times New Roman"/>
          <w:i/>
          <w:iCs/>
          <w:szCs w:val="28"/>
        </w:rPr>
        <w:t xml:space="preserve">12 năm 2020 của Bộ trưởng Bộ </w:t>
      </w:r>
      <w:r w:rsidRPr="00742B0F">
        <w:rPr>
          <w:rFonts w:eastAsia="Times New Roman" w:cs="Times New Roman"/>
          <w:i/>
          <w:szCs w:val="28"/>
        </w:rPr>
        <w:t xml:space="preserve">Tư </w:t>
      </w:r>
      <w:r w:rsidRPr="00742B0F">
        <w:rPr>
          <w:rFonts w:eastAsia="Times New Roman" w:cs="Times New Roman"/>
          <w:i/>
          <w:iCs/>
          <w:szCs w:val="28"/>
        </w:rPr>
        <w:t xml:space="preserve">pháp hướng dẫn </w:t>
      </w:r>
      <w:r w:rsidRPr="00742B0F">
        <w:rPr>
          <w:rFonts w:eastAsia="Times New Roman" w:cs="Times New Roman"/>
          <w:i/>
          <w:szCs w:val="28"/>
        </w:rPr>
        <w:t xml:space="preserve">chức </w:t>
      </w:r>
      <w:r w:rsidRPr="00742B0F">
        <w:rPr>
          <w:rFonts w:eastAsia="Times New Roman" w:cs="Times New Roman"/>
          <w:i/>
          <w:iCs/>
          <w:szCs w:val="28"/>
        </w:rPr>
        <w:t>năng</w:t>
      </w:r>
      <w:r w:rsidRPr="00742B0F">
        <w:rPr>
          <w:rFonts w:eastAsia="Times New Roman" w:cs="Times New Roman"/>
          <w:i/>
          <w:szCs w:val="28"/>
        </w:rPr>
        <w:t xml:space="preserve">, </w:t>
      </w:r>
      <w:r w:rsidRPr="00742B0F">
        <w:rPr>
          <w:rFonts w:eastAsia="Times New Roman" w:cs="Times New Roman"/>
          <w:i/>
          <w:iCs/>
          <w:szCs w:val="28"/>
        </w:rPr>
        <w:t xml:space="preserve">nhiệm vụ và quyền hạn của Sở </w:t>
      </w:r>
      <w:r w:rsidRPr="00742B0F">
        <w:rPr>
          <w:rFonts w:eastAsia="Times New Roman" w:cs="Times New Roman"/>
          <w:i/>
          <w:szCs w:val="28"/>
        </w:rPr>
        <w:t xml:space="preserve">Tư </w:t>
      </w:r>
      <w:r w:rsidRPr="00742B0F">
        <w:rPr>
          <w:rFonts w:eastAsia="Times New Roman" w:cs="Times New Roman"/>
          <w:i/>
          <w:iCs/>
          <w:szCs w:val="28"/>
        </w:rPr>
        <w:t>pháp thuộc Ủy ban nhân dân cấp tỉnh</w:t>
      </w:r>
      <w:r w:rsidRPr="00742B0F">
        <w:rPr>
          <w:rFonts w:eastAsia="Times New Roman" w:cs="Times New Roman"/>
          <w:i/>
          <w:szCs w:val="28"/>
        </w:rPr>
        <w:t xml:space="preserve">, </w:t>
      </w:r>
      <w:r w:rsidRPr="00742B0F">
        <w:rPr>
          <w:rFonts w:eastAsia="Times New Roman" w:cs="Times New Roman"/>
          <w:i/>
          <w:iCs/>
          <w:szCs w:val="28"/>
        </w:rPr>
        <w:t xml:space="preserve">Phòng Tư pháp thuộc Ủy ban nhân dân cấp huyện;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742B0F">
        <w:rPr>
          <w:rFonts w:eastAsia="Times New Roman" w:cs="Times New Roman"/>
          <w:i/>
          <w:iCs/>
          <w:szCs w:val="28"/>
        </w:rPr>
        <w:t xml:space="preserve">Căn cứ Nghị quyết số 20/NQ-HĐND ngày 19 tháng 02 năm 2025 của Hội đồng nhân dân </w:t>
      </w:r>
      <w:r w:rsidRPr="00742B0F">
        <w:rPr>
          <w:rFonts w:eastAsia="Times New Roman" w:cs="Times New Roman"/>
          <w:i/>
          <w:szCs w:val="28"/>
        </w:rPr>
        <w:t xml:space="preserve">tỉnh </w:t>
      </w:r>
      <w:r w:rsidRPr="00742B0F">
        <w:rPr>
          <w:rFonts w:eastAsia="Times New Roman" w:cs="Times New Roman"/>
          <w:i/>
          <w:iCs/>
          <w:szCs w:val="28"/>
        </w:rPr>
        <w:t xml:space="preserve">Hà Nam về </w:t>
      </w:r>
      <w:r w:rsidRPr="00742B0F">
        <w:rPr>
          <w:rFonts w:eastAsia="Times New Roman" w:cs="Times New Roman"/>
          <w:i/>
          <w:szCs w:val="28"/>
        </w:rPr>
        <w:t xml:space="preserve">việc </w:t>
      </w:r>
      <w:r w:rsidRPr="00742B0F">
        <w:rPr>
          <w:rFonts w:eastAsia="Times New Roman" w:cs="Times New Roman"/>
          <w:i/>
          <w:iCs/>
          <w:szCs w:val="28"/>
        </w:rPr>
        <w:t xml:space="preserve">thành lập </w:t>
      </w:r>
      <w:r w:rsidRPr="00742B0F">
        <w:rPr>
          <w:rFonts w:eastAsia="Times New Roman" w:cs="Times New Roman"/>
          <w:i/>
          <w:szCs w:val="28"/>
        </w:rPr>
        <w:t xml:space="preserve">các </w:t>
      </w:r>
      <w:r w:rsidRPr="00742B0F">
        <w:rPr>
          <w:rFonts w:eastAsia="Times New Roman" w:cs="Times New Roman"/>
          <w:i/>
          <w:iCs/>
          <w:szCs w:val="28"/>
        </w:rPr>
        <w:t xml:space="preserve">cơ quan chuyên môn thuộc Ủy ban nhân dân tỉnh Hà Nam;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i/>
          <w:szCs w:val="28"/>
        </w:rPr>
      </w:pPr>
      <w:r w:rsidRPr="00742B0F">
        <w:rPr>
          <w:rFonts w:eastAsia="Times New Roman" w:cs="Times New Roman"/>
          <w:i/>
          <w:iCs/>
          <w:szCs w:val="28"/>
        </w:rPr>
        <w:t>Theo đề nghị của Giám đốc Sở Tư pháp và Giám đốc Sở Nội vụ</w:t>
      </w:r>
      <w:r w:rsidRPr="00742B0F">
        <w:rPr>
          <w:rFonts w:eastAsia="Times New Roman" w:cs="Times New Roman"/>
          <w:i/>
          <w:szCs w:val="28"/>
        </w:rPr>
        <w:t xml:space="preserve">. </w:t>
      </w:r>
    </w:p>
    <w:p w:rsidR="00742B0F" w:rsidRPr="00742B0F" w:rsidRDefault="00742B0F" w:rsidP="00433C7D">
      <w:pPr>
        <w:spacing w:before="120" w:after="120" w:line="240" w:lineRule="atLeast"/>
        <w:ind w:firstLine="567"/>
        <w:jc w:val="center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b/>
          <w:bCs/>
          <w:szCs w:val="28"/>
        </w:rPr>
        <w:t>QUYẾT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ĐỊNH</w:t>
      </w:r>
      <w:r w:rsidRPr="00742B0F">
        <w:rPr>
          <w:rFonts w:eastAsia="Times New Roman" w:cs="Times New Roman"/>
          <w:szCs w:val="28"/>
        </w:rPr>
        <w:t>: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b/>
          <w:bCs/>
          <w:szCs w:val="28"/>
        </w:rPr>
        <w:t>Điều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1.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Vị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trí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và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chức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năng</w:t>
      </w:r>
      <w:r>
        <w:rPr>
          <w:rFonts w:eastAsia="Times New Roman" w:cs="Times New Roman"/>
          <w:b/>
          <w:bCs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mưu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về: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rà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soát,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hệ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hóa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biến,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con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ngành,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2.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con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khoản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riêng;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chịu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đạo,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chịu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đạo,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b/>
          <w:bCs/>
          <w:szCs w:val="28"/>
        </w:rPr>
        <w:t>Điều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2.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Nhiệm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vụ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và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quyền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hạn</w:t>
      </w:r>
      <w:r>
        <w:rPr>
          <w:rFonts w:eastAsia="Times New Roman" w:cs="Times New Roman"/>
          <w:b/>
          <w:bCs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05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Sở;</w:t>
      </w:r>
      <w:r>
        <w:rPr>
          <w:rFonts w:eastAsia="Times New Roman" w:cs="Times New Roman"/>
          <w:szCs w:val="28"/>
        </w:rPr>
        <w:t xml:space="preserve"> </w:t>
      </w:r>
    </w:p>
    <w:p w:rsidR="002C624F" w:rsidRDefault="00742B0F" w:rsidP="002C624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2C624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3.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phê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duyệt.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4.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</w:t>
      </w:r>
      <w:r w:rsidRPr="00C979A1">
        <w:rPr>
          <w:rFonts w:eastAsia="Times New Roman" w:cs="Times New Roman"/>
          <w:szCs w:val="28"/>
        </w:rPr>
        <w:t>) Chủ trì, phối hợp với Văn phòng Hội đồng nhân dân, Văn phòng Ủy ban nhân dân tỉnh 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góp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xem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xét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góp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soạn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5.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bàn;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những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khăn,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mắc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6.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nhưng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trưởng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khoản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này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7.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rà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soát,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hệ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hóa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rà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soát,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hệ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rà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soát,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hệ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hóa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8.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biến,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biến,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sau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biến,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Ngày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nghĩa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bàn;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biến,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ngũ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chuẩn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hóa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ngũ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dạy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dạy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đ)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khai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xã,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phường,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(sau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gọi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xã)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e)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huấn,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kỹ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9.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chuẩn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cận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10.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con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đạo,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con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khai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biểu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mẫu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sao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trích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bỏ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tờ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(trừ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luật);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bỏ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tờ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đúng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đ)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sơ,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con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con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nuôi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yếu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ngoài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e)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sơ,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11.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kỹ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yêu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xuất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xuất,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minh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đ)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xuất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trưởng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xem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xét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trả,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yêu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trưởng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e)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12.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thể,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miễn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đ)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bố,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gửi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Cổng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383212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e)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Lựa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chọn,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chấm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dứt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toán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thù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lao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tố</w:t>
      </w:r>
      <w:r w:rsidR="00383212">
        <w:rPr>
          <w:rFonts w:eastAsia="Times New Roman" w:cs="Times New Roman"/>
          <w:szCs w:val="28"/>
        </w:rPr>
        <w:t xml:space="preserve"> </w:t>
      </w:r>
      <w:r w:rsidR="00383212" w:rsidRPr="00742B0F">
        <w:rPr>
          <w:rFonts w:eastAsia="Times New Roman" w:cs="Times New Roman"/>
          <w:szCs w:val="28"/>
        </w:rPr>
        <w:t>tụng</w:t>
      </w:r>
      <w:r w:rsidR="00383212">
        <w:rPr>
          <w:rFonts w:eastAsia="Times New Roman" w:cs="Times New Roman"/>
          <w:szCs w:val="28"/>
        </w:rPr>
        <w:t xml:space="preserve"> </w:t>
      </w:r>
      <w:r w:rsidR="00383212" w:rsidRPr="00742B0F">
        <w:rPr>
          <w:rFonts w:eastAsia="Times New Roman" w:cs="Times New Roman"/>
          <w:szCs w:val="28"/>
        </w:rPr>
        <w:t>và</w:t>
      </w:r>
      <w:r w:rsidR="00383212"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ngoài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13.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mưu,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xuất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hỗ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triển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ngoài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ngoài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yêu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luật: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Đoàn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yêu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cần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thiết;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Đoàn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14.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trưởng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miễn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viên: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xóa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chứng: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phép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phép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nhất,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chứng: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khai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thác,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đ)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mưu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xét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duyệt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e)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mưu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trần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thù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lao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g)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dưỡng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chưa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h)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một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một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trường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chấm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dứt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khoản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4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Điều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64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15.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phép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phép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pháp: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loại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miễn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dưỡng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xuất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ngũ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yêu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16.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điều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tuyến,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phê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duyệt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điều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tuyến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đ)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điều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tuyến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Cổng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gửi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17.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bỏ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xóa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khỏi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trưởng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18.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ngoài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xóa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khỏi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rà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soát,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kê,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hòa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19.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mại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phép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ngoài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ngoài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trọng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ngoài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yêu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20.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minh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miễn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yêu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Thẻ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triển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phê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duyệt;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phép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đổi,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nhất,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nhượng,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chấm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dứt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Giấy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ngừng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đ)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thừa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21.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gắn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đai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đai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dưỡng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gắn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hệ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gắn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đăng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đai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nhật,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tích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gắn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Hệ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đảm.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22.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sau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dưỡng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kỹ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đ)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mưu,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xuất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nâng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cao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23.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hỗ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24.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433C7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dõi,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xuất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cứu,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lastRenderedPageBreak/>
        <w:t>thi,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phù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tiễn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chồng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chéo,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mâu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thuẫn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nhau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biến,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huấn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tích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dữ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25.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giữa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26.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dưỡng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xã,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433C7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27.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tiếp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khiếu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nại,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 w:rsidR="00433C7D"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28.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hội,tổ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433C7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29.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phương;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 w:rsidR="00433C7D"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30.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cứu,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dụng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khoa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học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nghệ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31.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hệ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máy,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đãi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ngộ,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đào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tạo,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bồi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dưỡng,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khen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thưởng,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kỷ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lao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433C7D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32.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chịu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hoặc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33.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thống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kê,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xuất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lĩnh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34.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Hướng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dẫn,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chịu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35.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b/>
          <w:bCs/>
          <w:szCs w:val="28"/>
        </w:rPr>
        <w:t>Điều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3.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Cơ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cấu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tổ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chức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và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biên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chế</w:t>
      </w:r>
      <w:r>
        <w:rPr>
          <w:rFonts w:eastAsia="Times New Roman" w:cs="Times New Roman"/>
          <w:b/>
          <w:bCs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Lãnh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gồm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có: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đầu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chịu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toàn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huyện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bàn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giao.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trách,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một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mặt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chịu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vắng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mặt,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một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điều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c)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Đảng,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đúng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tiêu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chuẩn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Bộ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d)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miễn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điều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chuyển,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khen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thưởng,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kỷ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từ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nghỉ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hưu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chức: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mưu,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hợp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chuyên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môn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sau: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kiểm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Quản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(XDKTVBQPPL-QLXLVPHC);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433C7D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742B0F" w:rsidRPr="00742B0F">
        <w:rPr>
          <w:rFonts w:eastAsia="Times New Roman" w:cs="Times New Roman"/>
          <w:szCs w:val="28"/>
        </w:rPr>
        <w:t>Phòng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Phổ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biến,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giáo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dục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pháp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luật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-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Theo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dõi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thi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hành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pháp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luật</w:t>
      </w:r>
      <w:r w:rsidR="00742B0F">
        <w:rPr>
          <w:rFonts w:eastAsia="Times New Roman" w:cs="Times New Roman"/>
          <w:szCs w:val="28"/>
        </w:rPr>
        <w:t xml:space="preserve"> </w:t>
      </w:r>
      <w:r w:rsidR="00742B0F" w:rsidRPr="00742B0F">
        <w:rPr>
          <w:rFonts w:eastAsia="Times New Roman" w:cs="Times New Roman"/>
          <w:szCs w:val="28"/>
        </w:rPr>
        <w:t>(PBGDPL-TDTHPL);</w:t>
      </w:r>
      <w:r w:rsidR="00742B0F"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lập: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1;</w:t>
      </w:r>
      <w:r>
        <w:rPr>
          <w:rFonts w:eastAsia="Times New Roman" w:cs="Times New Roman"/>
          <w:szCs w:val="28"/>
        </w:rPr>
        <w:t xml:space="preserve"> </w:t>
      </w:r>
    </w:p>
    <w:p w:rsidR="00F7466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2;</w:t>
      </w:r>
      <w:r>
        <w:rPr>
          <w:rFonts w:eastAsia="Times New Roman" w:cs="Times New Roman"/>
          <w:szCs w:val="28"/>
        </w:rPr>
        <w:t xml:space="preserve"> </w:t>
      </w:r>
    </w:p>
    <w:p w:rsidR="00F7466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3;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4;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lastRenderedPageBreak/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Trợ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giúp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lý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nước;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Trung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tâm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Dịch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sản.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3.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gắn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với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động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nằm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giao.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b)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cứ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mục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trí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danh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được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phê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duyệt;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xây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dựng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hoạch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lượng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người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làm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trong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sự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nghiệp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công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lập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thuộc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trình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thẩm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xem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xét,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theo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luật.</w:t>
      </w:r>
      <w:r>
        <w:rPr>
          <w:rFonts w:eastAsia="Times New Roman" w:cs="Times New Roman"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b/>
          <w:bCs/>
          <w:szCs w:val="28"/>
        </w:rPr>
        <w:t>Điều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4.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Tổ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bCs/>
          <w:szCs w:val="28"/>
        </w:rPr>
        <w:t>chức</w:t>
      </w:r>
      <w:r w:rsidRPr="00433C7D">
        <w:rPr>
          <w:rFonts w:eastAsia="Times New Roman" w:cs="Times New Roman"/>
          <w:b/>
          <w:bCs/>
          <w:szCs w:val="28"/>
        </w:rPr>
        <w:t xml:space="preserve"> </w:t>
      </w:r>
      <w:r w:rsidRPr="00742B0F">
        <w:rPr>
          <w:rFonts w:eastAsia="Times New Roman" w:cs="Times New Roman"/>
          <w:b/>
          <w:szCs w:val="28"/>
        </w:rPr>
        <w:t>thực</w:t>
      </w:r>
      <w:r w:rsidRPr="00433C7D">
        <w:rPr>
          <w:rFonts w:eastAsia="Times New Roman" w:cs="Times New Roman"/>
          <w:b/>
          <w:szCs w:val="28"/>
        </w:rPr>
        <w:t xml:space="preserve"> </w:t>
      </w:r>
      <w:r w:rsidRPr="00742B0F">
        <w:rPr>
          <w:rFonts w:eastAsia="Times New Roman" w:cs="Times New Roman"/>
          <w:b/>
          <w:szCs w:val="28"/>
        </w:rPr>
        <w:t>hiện</w:t>
      </w:r>
      <w:r w:rsidRPr="00433C7D">
        <w:rPr>
          <w:rFonts w:eastAsia="Times New Roman" w:cs="Times New Roman"/>
          <w:b/>
          <w:szCs w:val="28"/>
        </w:rPr>
        <w:t xml:space="preserve"> </w:t>
      </w:r>
    </w:p>
    <w:p w:rsidR="00742B0F" w:rsidRP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1.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này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hiệu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lực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kể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từ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ngày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01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3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2025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thay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thế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số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13/2021/QĐ-UBND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ngày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24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tháng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6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2021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iCs/>
          <w:szCs w:val="28"/>
        </w:rPr>
        <w:t>tỉnh</w:t>
      </w:r>
      <w:r>
        <w:rPr>
          <w:rFonts w:eastAsia="Times New Roman" w:cs="Times New Roman"/>
          <w:iCs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việc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năng,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quyền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cấu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tổ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chức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Nam.</w:t>
      </w:r>
      <w:r>
        <w:rPr>
          <w:rFonts w:eastAsia="Times New Roman" w:cs="Times New Roman"/>
          <w:szCs w:val="28"/>
        </w:rPr>
        <w:t xml:space="preserve"> </w:t>
      </w:r>
    </w:p>
    <w:p w:rsidR="00742B0F" w:rsidRDefault="00742B0F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  <w:r w:rsidRPr="00742B0F">
        <w:rPr>
          <w:rFonts w:eastAsia="Times New Roman" w:cs="Times New Roman"/>
          <w:szCs w:val="28"/>
        </w:rPr>
        <w:t>2.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Chánh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Văn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phòng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Ủy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ban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dân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tỉnh,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Nội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vụ,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Tư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pháp;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Giám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đốc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Sở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Tài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chính;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Thủ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trưởng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các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cơ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quan,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đơn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vị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có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liên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quan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chịu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trách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nhiệm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thi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hành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Quyết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định</w:t>
      </w:r>
      <w:r>
        <w:rPr>
          <w:rFonts w:eastAsia="Times New Roman" w:cs="Times New Roman"/>
          <w:szCs w:val="28"/>
        </w:rPr>
        <w:t xml:space="preserve"> </w:t>
      </w:r>
      <w:r w:rsidRPr="00742B0F">
        <w:rPr>
          <w:rFonts w:eastAsia="Times New Roman" w:cs="Times New Roman"/>
          <w:szCs w:val="28"/>
        </w:rPr>
        <w:t>này./.</w:t>
      </w:r>
      <w:r>
        <w:rPr>
          <w:rFonts w:eastAsia="Times New Roman" w:cs="Times New Roman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33C7D" w:rsidTr="00433C7D">
        <w:tc>
          <w:tcPr>
            <w:tcW w:w="4644" w:type="dxa"/>
          </w:tcPr>
          <w:p w:rsidR="00433C7D" w:rsidRPr="00CC3BB9" w:rsidRDefault="00433C7D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  <w:r w:rsidRPr="00CC3BB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Nơi nhận: </w:t>
            </w:r>
          </w:p>
          <w:p w:rsidR="00EA061E" w:rsidRDefault="00433C7D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CC3BB9">
              <w:rPr>
                <w:rFonts w:eastAsia="Times New Roman" w:cs="Times New Roman"/>
                <w:sz w:val="22"/>
              </w:rPr>
              <w:t xml:space="preserve">- Như Điều 4; </w:t>
            </w:r>
          </w:p>
          <w:p w:rsidR="00433C7D" w:rsidRPr="00CC3BB9" w:rsidRDefault="00EA061E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</w:t>
            </w:r>
            <w:r w:rsidR="00433C7D" w:rsidRPr="00CC3BB9">
              <w:rPr>
                <w:rFonts w:eastAsia="Times New Roman" w:cs="Times New Roman"/>
                <w:sz w:val="22"/>
              </w:rPr>
              <w:t xml:space="preserve">Cục KTVB và QLXLVPHC, Bộ Tư pháp; </w:t>
            </w:r>
          </w:p>
          <w:p w:rsidR="00433C7D" w:rsidRPr="00CC3BB9" w:rsidRDefault="00433C7D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CC3BB9">
              <w:rPr>
                <w:rFonts w:eastAsia="Times New Roman" w:cs="Times New Roman"/>
                <w:sz w:val="22"/>
              </w:rPr>
              <w:t xml:space="preserve">- Vụ pháp chế, Bộ Nội vụ; </w:t>
            </w:r>
          </w:p>
          <w:p w:rsidR="00433C7D" w:rsidRPr="00CC3BB9" w:rsidRDefault="00433C7D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CC3BB9">
              <w:rPr>
                <w:rFonts w:eastAsia="Times New Roman" w:cs="Times New Roman"/>
                <w:sz w:val="22"/>
              </w:rPr>
              <w:t xml:space="preserve">- TT Tỉnh ủy, TT HĐND tỉnh; </w:t>
            </w:r>
          </w:p>
          <w:p w:rsidR="00433C7D" w:rsidRPr="00CC3BB9" w:rsidRDefault="00EA061E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- </w:t>
            </w:r>
            <w:r w:rsidR="00433C7D" w:rsidRPr="00CC3BB9">
              <w:rPr>
                <w:rFonts w:eastAsia="Times New Roman" w:cs="Times New Roman"/>
                <w:sz w:val="22"/>
              </w:rPr>
              <w:t xml:space="preserve">Chủ tịch, các Phó Chủ tịch UBND tỉnh; </w:t>
            </w:r>
          </w:p>
          <w:p w:rsidR="00433C7D" w:rsidRPr="00CC3BB9" w:rsidRDefault="00433C7D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CC3BB9">
              <w:rPr>
                <w:rFonts w:eastAsia="Times New Roman" w:cs="Times New Roman"/>
                <w:sz w:val="22"/>
              </w:rPr>
              <w:t xml:space="preserve">- VPUB: LĐVP, TCDNC, </w:t>
            </w:r>
            <w:r w:rsidR="00EA061E">
              <w:rPr>
                <w:rFonts w:eastAsia="Times New Roman" w:cs="Times New Roman"/>
                <w:sz w:val="22"/>
              </w:rPr>
              <w:t>TH;</w:t>
            </w:r>
            <w:r w:rsidRPr="00CC3BB9">
              <w:rPr>
                <w:rFonts w:eastAsia="Times New Roman" w:cs="Times New Roman"/>
                <w:sz w:val="22"/>
              </w:rPr>
              <w:t xml:space="preserve"> </w:t>
            </w:r>
          </w:p>
          <w:p w:rsidR="00433C7D" w:rsidRPr="00CC3BB9" w:rsidRDefault="00EA061E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- </w:t>
            </w:r>
            <w:bookmarkStart w:id="0" w:name="_GoBack"/>
            <w:bookmarkEnd w:id="0"/>
            <w:r w:rsidR="00433C7D" w:rsidRPr="00CC3BB9">
              <w:rPr>
                <w:rFonts w:eastAsia="Times New Roman" w:cs="Times New Roman"/>
                <w:sz w:val="22"/>
              </w:rPr>
              <w:t xml:space="preserve">Công báo tỉnh; Cổng TTĐT tỉnh; </w:t>
            </w:r>
          </w:p>
          <w:p w:rsidR="00433C7D" w:rsidRPr="00CC3BB9" w:rsidRDefault="00433C7D" w:rsidP="00CC3BB9">
            <w:pPr>
              <w:spacing w:before="120" w:after="120" w:line="240" w:lineRule="atLeast"/>
              <w:jc w:val="both"/>
              <w:rPr>
                <w:rFonts w:eastAsia="Times New Roman" w:cs="Times New Roman"/>
                <w:sz w:val="22"/>
              </w:rPr>
            </w:pPr>
            <w:r w:rsidRPr="00CC3BB9">
              <w:rPr>
                <w:rFonts w:eastAsia="Times New Roman" w:cs="Times New Roman"/>
                <w:sz w:val="22"/>
              </w:rPr>
              <w:t xml:space="preserve">- Luu: VT, TCDNC(T). </w:t>
            </w:r>
          </w:p>
          <w:p w:rsidR="00433C7D" w:rsidRDefault="00433C7D" w:rsidP="00742B0F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44" w:type="dxa"/>
          </w:tcPr>
          <w:p w:rsidR="00433C7D" w:rsidRPr="00A7627D" w:rsidRDefault="00A7627D" w:rsidP="00A7627D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</w:t>
            </w:r>
            <w:r w:rsidRPr="00A7627D">
              <w:rPr>
                <w:rFonts w:eastAsia="Times New Roman" w:cs="Times New Roman"/>
                <w:b/>
                <w:szCs w:val="28"/>
              </w:rPr>
              <w:t>M. UỶ BAN NHÂN DÂN</w:t>
            </w:r>
          </w:p>
          <w:p w:rsidR="00A7627D" w:rsidRPr="00A7627D" w:rsidRDefault="00A7627D" w:rsidP="00A7627D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A7627D">
              <w:rPr>
                <w:rFonts w:eastAsia="Times New Roman" w:cs="Times New Roman"/>
                <w:b/>
                <w:szCs w:val="28"/>
              </w:rPr>
              <w:t>CHỦ TỊCH</w:t>
            </w:r>
          </w:p>
          <w:p w:rsidR="00A7627D" w:rsidRPr="00A7627D" w:rsidRDefault="00A7627D" w:rsidP="00A7627D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A7627D" w:rsidRPr="00A7627D" w:rsidRDefault="00A7627D" w:rsidP="00A7627D">
            <w:pPr>
              <w:spacing w:before="120" w:after="120" w:line="24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A7627D" w:rsidRDefault="00A7627D" w:rsidP="00A7627D">
            <w:pPr>
              <w:spacing w:before="120" w:after="120" w:line="240" w:lineRule="atLeast"/>
              <w:jc w:val="center"/>
              <w:rPr>
                <w:rFonts w:eastAsia="Times New Roman" w:cs="Times New Roman"/>
                <w:szCs w:val="28"/>
              </w:rPr>
            </w:pPr>
            <w:r w:rsidRPr="00A7627D">
              <w:rPr>
                <w:rFonts w:eastAsia="Times New Roman" w:cs="Times New Roman"/>
                <w:b/>
                <w:szCs w:val="28"/>
              </w:rPr>
              <w:t>Trương Quốc Huy</w:t>
            </w:r>
          </w:p>
        </w:tc>
      </w:tr>
    </w:tbl>
    <w:p w:rsidR="00433C7D" w:rsidRPr="00742B0F" w:rsidRDefault="00433C7D" w:rsidP="00742B0F">
      <w:pPr>
        <w:spacing w:before="120" w:after="120" w:line="240" w:lineRule="atLeast"/>
        <w:ind w:firstLine="567"/>
        <w:jc w:val="both"/>
        <w:rPr>
          <w:rFonts w:eastAsia="Times New Roman" w:cs="Times New Roman"/>
          <w:szCs w:val="28"/>
        </w:rPr>
      </w:pPr>
    </w:p>
    <w:sectPr w:rsidR="00433C7D" w:rsidRPr="00742B0F" w:rsidSect="00433C7D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BD" w:rsidRDefault="001924BD" w:rsidP="00433C7D">
      <w:pPr>
        <w:spacing w:after="0" w:line="240" w:lineRule="auto"/>
      </w:pPr>
      <w:r>
        <w:separator/>
      </w:r>
    </w:p>
  </w:endnote>
  <w:endnote w:type="continuationSeparator" w:id="0">
    <w:p w:rsidR="001924BD" w:rsidRDefault="001924BD" w:rsidP="0043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BD" w:rsidRDefault="001924BD" w:rsidP="00433C7D">
      <w:pPr>
        <w:spacing w:after="0" w:line="240" w:lineRule="auto"/>
      </w:pPr>
      <w:r>
        <w:separator/>
      </w:r>
    </w:p>
  </w:footnote>
  <w:footnote w:type="continuationSeparator" w:id="0">
    <w:p w:rsidR="001924BD" w:rsidRDefault="001924BD" w:rsidP="0043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2788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3C7D" w:rsidRDefault="00433C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61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33C7D" w:rsidRDefault="00433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0F"/>
    <w:rsid w:val="000F1B09"/>
    <w:rsid w:val="001924BD"/>
    <w:rsid w:val="001E645D"/>
    <w:rsid w:val="002C624F"/>
    <w:rsid w:val="00383212"/>
    <w:rsid w:val="00433C7D"/>
    <w:rsid w:val="00434EC2"/>
    <w:rsid w:val="006607D2"/>
    <w:rsid w:val="00742B0F"/>
    <w:rsid w:val="00811504"/>
    <w:rsid w:val="008F7593"/>
    <w:rsid w:val="00A7627D"/>
    <w:rsid w:val="00B740FD"/>
    <w:rsid w:val="00C55C62"/>
    <w:rsid w:val="00C979A1"/>
    <w:rsid w:val="00CC3BB9"/>
    <w:rsid w:val="00EA061E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B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7D"/>
  </w:style>
  <w:style w:type="paragraph" w:styleId="Footer">
    <w:name w:val="footer"/>
    <w:basedOn w:val="Normal"/>
    <w:link w:val="FooterChar"/>
    <w:uiPriority w:val="99"/>
    <w:unhideWhenUsed/>
    <w:rsid w:val="0043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B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7D"/>
  </w:style>
  <w:style w:type="paragraph" w:styleId="Footer">
    <w:name w:val="footer"/>
    <w:basedOn w:val="Normal"/>
    <w:link w:val="FooterChar"/>
    <w:uiPriority w:val="99"/>
    <w:unhideWhenUsed/>
    <w:rsid w:val="0043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2E8E6-8E26-47DF-9B2A-7E2930D832CD}"/>
</file>

<file path=customXml/itemProps2.xml><?xml version="1.0" encoding="utf-8"?>
<ds:datastoreItem xmlns:ds="http://schemas.openxmlformats.org/officeDocument/2006/customXml" ds:itemID="{A75E7772-31C0-4D67-9061-AE49AB59D3FA}"/>
</file>

<file path=customXml/itemProps3.xml><?xml version="1.0" encoding="utf-8"?>
<ds:datastoreItem xmlns:ds="http://schemas.openxmlformats.org/officeDocument/2006/customXml" ds:itemID="{36AD5CF5-7DB2-4E8F-BC34-E0FC77799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4189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2025-04-02T01:26:00Z</dcterms:created>
  <dcterms:modified xsi:type="dcterms:W3CDTF">2025-04-02T02:30:00Z</dcterms:modified>
</cp:coreProperties>
</file>